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4680" w:leader="none"/>
          <w:tab w:val="right" w:pos="9360" w:leader="none"/>
        </w:tabs>
        <w:rPr>
          <w:sz w:val="32"/>
          <w:szCs w:val="32"/>
          <w:u w:val="single"/>
        </w:rPr>
      </w:pPr>
      <w:r>
        <w:rPr>
          <w:sz w:val="32"/>
          <w:szCs w:val="32"/>
        </w:rPr>
        <w:t>HD 367/567</w:t>
        <w:tab/>
        <w:t xml:space="preserve">                 </w:t>
      </w:r>
      <w:r>
        <w:rPr>
          <w:sz w:val="32"/>
          <w:szCs w:val="32"/>
          <w:u w:val="single"/>
        </w:rPr>
        <w:t>Intentional Intimacy &amp; Family Formation</w:t>
      </w:r>
    </w:p>
    <w:p>
      <w:pPr>
        <w:pStyle w:val="Normal"/>
        <w:tabs>
          <w:tab w:val="center" w:pos="4680" w:leader="none"/>
          <w:tab w:val="right" w:pos="9360" w:leader="none"/>
        </w:tabs>
        <w:rPr>
          <w:sz w:val="36"/>
          <w:szCs w:val="36"/>
          <w:u w:val="single"/>
        </w:rPr>
      </w:pPr>
      <w:r>
        <w:rPr>
          <w:sz w:val="36"/>
          <w:szCs w:val="36"/>
          <w:u w:val="single"/>
        </w:rPr>
      </w:r>
    </w:p>
    <w:p>
      <w:pPr>
        <w:pStyle w:val="Normal"/>
        <w:jc w:val="center"/>
        <w:rPr>
          <w:i/>
          <w:i/>
          <w:sz w:val="22"/>
          <w:szCs w:val="22"/>
        </w:rPr>
      </w:pPr>
      <w:r>
        <w:rPr>
          <w:rFonts w:eastAsia="Times New Roman"/>
          <w:i/>
          <w:sz w:val="22"/>
          <w:szCs w:val="22"/>
        </w:rPr>
        <w:t>“</w:t>
      </w:r>
      <w:r>
        <w:rPr>
          <w:i/>
          <w:sz w:val="22"/>
          <w:szCs w:val="22"/>
        </w:rPr>
        <w:t>Professors are here to challenge students’ beliefs and ideas… So don’t be afraid to, most of us are pretty nice.”</w:t>
      </w:r>
    </w:p>
    <w:p>
      <w:pPr>
        <w:pStyle w:val="Normal"/>
        <w:jc w:val="center"/>
        <w:rPr>
          <w:i/>
          <w:i/>
          <w:sz w:val="22"/>
          <w:szCs w:val="22"/>
        </w:rPr>
      </w:pPr>
      <w:r>
        <w:rPr>
          <w:rFonts w:eastAsia="Times New Roman"/>
          <w:i/>
          <w:sz w:val="22"/>
          <w:szCs w:val="22"/>
        </w:rPr>
        <w:t xml:space="preserve"> </w:t>
      </w:r>
      <w:r>
        <w:rPr>
          <w:i/>
          <w:sz w:val="22"/>
          <w:szCs w:val="22"/>
        </w:rPr>
        <w:t>-- Melissa Cichantek (Prev SGA Pres.)</w:t>
      </w:r>
    </w:p>
    <w:p>
      <w:pPr>
        <w:pStyle w:val="Normal"/>
        <w:jc w:val="center"/>
        <w:rPr>
          <w:i/>
          <w:i/>
          <w:sz w:val="22"/>
          <w:szCs w:val="22"/>
        </w:rPr>
      </w:pPr>
      <w:r>
        <w:rPr>
          <w:i/>
          <w:sz w:val="22"/>
          <w:szCs w:val="22"/>
        </w:rPr>
      </w:r>
    </w:p>
    <w:p>
      <w:pPr>
        <w:pStyle w:val="Normal"/>
        <w:jc w:val="center"/>
        <w:rPr>
          <w:i/>
          <w:i/>
          <w:sz w:val="22"/>
          <w:szCs w:val="22"/>
        </w:rPr>
      </w:pPr>
      <w:r>
        <w:rPr>
          <w:i/>
          <w:sz w:val="22"/>
          <w:szCs w:val="22"/>
        </w:rPr>
        <w:t>Intellectuals solve problems, geniuses prevent them – Albert Einstein</w:t>
      </w:r>
    </w:p>
    <w:p>
      <w:pPr>
        <w:pStyle w:val="Normal"/>
        <w:jc w:val="center"/>
        <w:rPr>
          <w:i/>
          <w:i/>
          <w:sz w:val="22"/>
          <w:szCs w:val="22"/>
        </w:rPr>
      </w:pPr>
      <w:r>
        <w:rPr>
          <w:i/>
          <w:sz w:val="22"/>
          <w:szCs w:val="22"/>
        </w:rPr>
      </w:r>
    </w:p>
    <w:p>
      <w:pPr>
        <w:pStyle w:val="Normal"/>
        <w:jc w:val="center"/>
        <w:rPr>
          <w:i/>
          <w:i/>
          <w:sz w:val="22"/>
          <w:szCs w:val="22"/>
        </w:rPr>
      </w:pPr>
      <w:r>
        <w:rPr>
          <w:i/>
          <w:sz w:val="22"/>
          <w:szCs w:val="22"/>
        </w:rPr>
        <w:t>Any fool can learn from their own mistakes, a wise person, learns from the mistakes of others – Otto Von Bismarck</w:t>
      </w:r>
    </w:p>
    <w:p>
      <w:pPr>
        <w:pStyle w:val="Normal"/>
        <w:rPr>
          <w:b/>
          <w:b/>
          <w:i/>
          <w:i/>
          <w:sz w:val="22"/>
          <w:szCs w:val="22"/>
        </w:rPr>
      </w:pPr>
      <w:r>
        <w:rPr>
          <w:b/>
          <w:i/>
          <w:sz w:val="22"/>
          <w:szCs w:val="22"/>
        </w:rPr>
      </w:r>
    </w:p>
    <w:p>
      <w:pPr>
        <w:pStyle w:val="Normal"/>
        <w:rPr/>
      </w:pPr>
      <w:r>
        <w:rPr>
          <w:b/>
        </w:rPr>
        <w:t>Instructor</w:t>
      </w:r>
      <w:r>
        <w:rPr/>
        <w:t>:</w:t>
        <w:tab/>
        <w:t>Dr. Sterling Wall</w:t>
      </w:r>
    </w:p>
    <w:p>
      <w:pPr>
        <w:pStyle w:val="Normal"/>
        <w:rPr/>
      </w:pPr>
      <w:r>
        <w:rPr>
          <w:b/>
        </w:rPr>
        <w:t>Email</w:t>
      </w:r>
      <w:r>
        <w:rPr/>
        <w:t>:</w:t>
        <w:tab/>
        <w:tab/>
        <w:t>swall@uwsp.edu</w:t>
        <w:tab/>
        <w:tab/>
        <w:tab/>
        <w:tab/>
      </w:r>
    </w:p>
    <w:p>
      <w:pPr>
        <w:pStyle w:val="Normal"/>
        <w:rPr/>
      </w:pPr>
      <w:r>
        <w:rPr>
          <w:b/>
        </w:rPr>
        <w:t>Phone</w:t>
      </w:r>
      <w:r>
        <w:rPr/>
        <w:t>:</w:t>
        <w:tab/>
        <w:tab/>
        <w:t>715-346-4653</w:t>
      </w:r>
    </w:p>
    <w:p>
      <w:pPr>
        <w:pStyle w:val="Normal"/>
        <w:rPr/>
      </w:pPr>
      <w:r>
        <w:rPr>
          <w:b/>
        </w:rPr>
        <w:t>Office</w:t>
      </w:r>
      <w:r>
        <w:rPr/>
        <w:t>:</w:t>
        <w:tab/>
        <w:tab/>
        <w:t>242A CPS</w:t>
      </w:r>
    </w:p>
    <w:p>
      <w:pPr>
        <w:pStyle w:val="Normal"/>
        <w:rPr/>
      </w:pPr>
      <w:r>
        <w:rPr>
          <w:b/>
        </w:rPr>
        <w:t>Office Hours</w:t>
      </w:r>
      <w:r>
        <w:rPr/>
        <w:t>: Mondays &amp; Tuesdays, 11-12am, or by 24 Hour Advance Appointment</w:t>
      </w:r>
    </w:p>
    <w:p>
      <w:pPr>
        <w:pStyle w:val="Normal"/>
        <w:rPr>
          <w:b/>
          <w:b/>
        </w:rPr>
      </w:pPr>
      <w:r>
        <w:rPr>
          <w:b/>
        </w:rPr>
      </w:r>
    </w:p>
    <w:p>
      <w:pPr>
        <w:pStyle w:val="Normal"/>
        <w:rPr>
          <w:b/>
          <w:b/>
        </w:rPr>
      </w:pPr>
      <w:r>
        <w:rPr>
          <w:b/>
          <w:sz w:val="24"/>
          <w:u w:val="none"/>
        </w:rPr>
        <w:t xml:space="preserve">EMAIL  is an official form of communication for this course. </w:t>
      </w:r>
      <w:r>
        <w:rPr>
          <w:b w:val="false"/>
          <w:bCs w:val="false"/>
          <w:sz w:val="24"/>
          <w:u w:val="none"/>
        </w:rPr>
        <w:t>Students are responsible for all information sent to their UWSP email account and expected to check it once every 24 hours, M-F, during the semester. Read all emails from instructor completely.</w:t>
      </w:r>
    </w:p>
    <w:p>
      <w:pPr>
        <w:pStyle w:val="Normal"/>
        <w:rPr>
          <w:b/>
          <w:b/>
        </w:rPr>
      </w:pPr>
      <w:r>
        <w:rPr>
          <w:b/>
        </w:rPr>
      </w:r>
    </w:p>
    <w:p>
      <w:pPr>
        <w:pStyle w:val="Normal"/>
        <w:rPr/>
      </w:pPr>
      <w:r>
        <w:rPr>
          <w:b/>
        </w:rPr>
        <w:t>TEXTS</w:t>
      </w:r>
    </w:p>
    <w:p>
      <w:pPr>
        <w:pStyle w:val="Normal"/>
        <w:rPr/>
      </w:pPr>
      <w:r>
        <w:rPr/>
        <w:t>Intimate Relationships, 7</w:t>
      </w:r>
      <w:r>
        <w:rPr>
          <w:vertAlign w:val="superscript"/>
        </w:rPr>
        <w:t>th</w:t>
      </w:r>
      <w:r>
        <w:rPr/>
        <w:t xml:space="preserve"> Edition, Miller; Online and worksheets as assigned.</w:t>
      </w:r>
    </w:p>
    <w:p>
      <w:pPr>
        <w:pStyle w:val="Normal"/>
        <w:rPr>
          <w:b/>
          <w:b/>
        </w:rPr>
      </w:pPr>
      <w:r>
        <w:rPr>
          <w:b/>
        </w:rPr>
      </w:r>
    </w:p>
    <w:p>
      <w:pPr>
        <w:pStyle w:val="Normal"/>
        <w:rPr>
          <w:b/>
          <w:b/>
        </w:rPr>
      </w:pPr>
      <w:r>
        <w:rPr>
          <w:b/>
        </w:rPr>
        <w:t>COURSE DESCRIPTION</w:t>
      </w:r>
    </w:p>
    <w:p>
      <w:pPr>
        <w:pStyle w:val="Normal"/>
        <w:rPr/>
      </w:pPr>
      <w:r>
        <w:rPr/>
        <w:t xml:space="preserve">This is a three semester credit hour course. Course focus is on family functions; variations in family organization and relationships; application of principles to family dynamics during different stages of the life cycle. </w:t>
      </w:r>
    </w:p>
    <w:p>
      <w:pPr>
        <w:pStyle w:val="Normal"/>
        <w:rPr>
          <w:b/>
          <w:b/>
        </w:rPr>
      </w:pPr>
      <w:r>
        <w:rPr>
          <w:b/>
        </w:rPr>
      </w:r>
    </w:p>
    <w:p>
      <w:pPr>
        <w:pStyle w:val="Normal"/>
        <w:rPr>
          <w:b/>
          <w:b/>
        </w:rPr>
      </w:pPr>
      <w:r>
        <w:rPr>
          <w:b/>
        </w:rPr>
        <w:t>COURSE OUTCOMES (Bolded and italicized information ADDED for assessment purposes)</w:t>
      </w:r>
    </w:p>
    <w:p>
      <w:pPr>
        <w:pStyle w:val="Normal"/>
        <w:rPr/>
      </w:pPr>
      <w:r>
        <w:rPr/>
        <w:t>Through active participation in class and completion of assignments students will:</w:t>
      </w:r>
    </w:p>
    <w:p>
      <w:pPr>
        <w:pStyle w:val="Normal"/>
        <w:rPr>
          <w:b/>
          <w:b/>
        </w:rPr>
      </w:pPr>
      <w:r>
        <w:rPr>
          <w:b/>
        </w:rPr>
        <w:t>-Become familiar with research based materials and sources supporting marriage &amp; family.</w:t>
      </w:r>
    </w:p>
    <w:p>
      <w:pPr>
        <w:pStyle w:val="Normal"/>
        <w:rPr>
          <w:i/>
          <w:i/>
        </w:rPr>
      </w:pPr>
      <w:r>
        <w:rPr>
          <w:i/>
        </w:rPr>
        <w:t>(GEP-SS1: Define the major concepts and methods used by social scientists to investigate, to analyze, or to predict human or group behavior.)</w:t>
      </w:r>
    </w:p>
    <w:p>
      <w:pPr>
        <w:pStyle w:val="Normal"/>
        <w:rPr>
          <w:b/>
          <w:b/>
        </w:rPr>
      </w:pPr>
      <w:r>
        <w:rPr>
          <w:b/>
        </w:rPr>
        <w:t>-Develop an understanding of functional relationship and family dynamics.</w:t>
      </w:r>
    </w:p>
    <w:p>
      <w:pPr>
        <w:pStyle w:val="Normal"/>
        <w:rPr>
          <w:i/>
          <w:i/>
        </w:rPr>
      </w:pPr>
      <w:r>
        <w:rPr>
          <w:i/>
        </w:rPr>
        <w:t>(GEP-SS2: Explain the major principles, models, and issues under investigation by the social sciences.)</w:t>
      </w:r>
    </w:p>
    <w:p>
      <w:pPr>
        <w:pStyle w:val="Normal"/>
        <w:rPr>
          <w:b/>
          <w:b/>
        </w:rPr>
      </w:pPr>
      <w:r>
        <w:rPr>
          <w:b/>
        </w:rPr>
        <w:t>-Understand the interaction between families and their cultural contexts.</w:t>
      </w:r>
    </w:p>
    <w:p>
      <w:pPr>
        <w:pStyle w:val="Normal"/>
        <w:rPr>
          <w:i/>
          <w:i/>
        </w:rPr>
      </w:pPr>
      <w:r>
        <w:rPr>
          <w:i/>
        </w:rPr>
        <w:t>(GEP-SS3: Examine how the individual or groups of individuals are influenced by social, cultural, or political institutions both in their own culture and in other cultures.)</w:t>
      </w:r>
    </w:p>
    <w:p>
      <w:pPr>
        <w:pStyle w:val="Normal"/>
        <w:rPr/>
      </w:pPr>
      <w:r>
        <w:rPr/>
        <w:t>-Reflect upon how personal experiences have shaped their own intimate relationships.</w:t>
      </w:r>
    </w:p>
    <w:p>
      <w:pPr>
        <w:pStyle w:val="Normal"/>
        <w:rPr/>
      </w:pPr>
      <w:r>
        <w:rPr/>
        <w:t>-Apply key course concepts to their own personal and professional goals and activities.</w:t>
      </w:r>
    </w:p>
    <w:p>
      <w:pPr>
        <w:pStyle w:val="Normal"/>
        <w:rPr>
          <w:b/>
          <w:b/>
        </w:rPr>
      </w:pPr>
      <w:r>
        <w:rPr>
          <w:b/>
        </w:rPr>
      </w:r>
    </w:p>
    <w:p>
      <w:pPr>
        <w:pStyle w:val="Normal"/>
        <w:rPr>
          <w:b/>
          <w:b/>
        </w:rPr>
      </w:pPr>
      <w:r>
        <w:rPr>
          <w:b/>
        </w:rPr>
        <w:t>COURSE EXPECTATIONS</w:t>
      </w:r>
    </w:p>
    <w:p>
      <w:pPr>
        <w:pStyle w:val="Normal"/>
        <w:rPr/>
      </w:pPr>
      <w:r>
        <w:rPr/>
        <w:t xml:space="preserve">-Reading of assigned materials by scheduled due dates. </w:t>
      </w:r>
    </w:p>
    <w:p>
      <w:pPr>
        <w:pStyle w:val="Normal"/>
        <w:rPr/>
      </w:pPr>
      <w:r>
        <w:rPr/>
        <w:t>-Attend class and participate in class discussion and activities.</w:t>
      </w:r>
    </w:p>
    <w:p>
      <w:pPr>
        <w:pStyle w:val="Normal"/>
        <w:rPr/>
      </w:pPr>
      <w:r>
        <w:rPr/>
        <w:t>-Completion of all course work on time</w:t>
      </w:r>
    </w:p>
    <w:p>
      <w:pPr>
        <w:pStyle w:val="Normal"/>
        <w:rPr>
          <w:b/>
          <w:b/>
        </w:rPr>
      </w:pPr>
      <w:r>
        <w:rPr>
          <w:b/>
        </w:rPr>
      </w:r>
    </w:p>
    <w:p>
      <w:pPr>
        <w:pStyle w:val="Normal"/>
        <w:rPr/>
      </w:pPr>
      <w:r>
        <w:rPr>
          <w:b/>
        </w:rPr>
        <w:t>STUDENTS WITH SPECIAL NEEDS</w:t>
      </w:r>
      <w:r>
        <w:rPr/>
        <w:t xml:space="preserve"> Any student needing special accommodations needs to contact the Office of Disability Services (715-346-3365) in the Student Services Center. Those students documented as eligible will be appropriately accommodated. If anyone has any concerns about passing this course, please feel free to see me.</w:t>
      </w:r>
    </w:p>
    <w:p>
      <w:pPr>
        <w:pStyle w:val="Normal"/>
        <w:rPr/>
      </w:pPr>
      <w:r>
        <w:rPr/>
      </w:r>
    </w:p>
    <w:p>
      <w:pPr>
        <w:pStyle w:val="Normal"/>
        <w:rPr/>
      </w:pPr>
      <w:r>
        <w:rPr/>
        <w:t xml:space="preserve">The Writing Lab in the Tutoring-Learning Center (TLC) offers free one-on-one help with papers for any class at any point in the writing process, from outlining to checking a completed paper before submission. The writing tutors are UWSP students who have done well in their classes and who are here to share their successful writing habits to help others succeed. Talking about writing projects always makes them better, and the tutors in the lab are eager to help. Drop in room LRC 018 or call (715) 346-3568 for an appointment. </w:t>
      </w:r>
    </w:p>
    <w:p>
      <w:pPr>
        <w:pStyle w:val="Normal"/>
        <w:rPr/>
      </w:pPr>
      <w:r>
        <w:rPr/>
      </w:r>
    </w:p>
    <w:p>
      <w:pPr>
        <w:pStyle w:val="Normal"/>
        <w:rPr/>
      </w:pPr>
      <w:r>
        <w:rPr>
          <w:b/>
        </w:rPr>
        <w:t>HONESTY CODE</w:t>
      </w:r>
      <w:r>
        <w:rPr/>
        <w:t xml:space="preserve"> Academic honesty will be regulated according to the University of Wisconsin - Stevens Point Communal Bill of Rights and Responsibilities (Chapter UWSP 14). All violations will be reported, no exceptions.</w:t>
      </w:r>
    </w:p>
    <w:p>
      <w:pPr>
        <w:pStyle w:val="Normal"/>
        <w:spacing w:lineRule="exact" w:line="240"/>
        <w:rPr>
          <w:b/>
          <w:b/>
        </w:rPr>
      </w:pPr>
      <w:r>
        <w:rPr>
          <w:b/>
        </w:rPr>
      </w:r>
    </w:p>
    <w:p>
      <w:pPr>
        <w:pStyle w:val="Normal"/>
        <w:spacing w:lineRule="exact" w:line="240"/>
        <w:rPr>
          <w:sz w:val="22"/>
          <w:szCs w:val="22"/>
        </w:rPr>
      </w:pPr>
      <w:r>
        <w:rPr>
          <w:b/>
        </w:rPr>
        <w:t>ATTENDANCE</w:t>
      </w:r>
      <w:r>
        <w:rPr/>
        <w:t xml:space="preserve"> The University expects that students will attend all of their classes. Additionally, in the event of in class or take home assignments, activities, quizzes, worksheets, or extra credit opportunities, one would need to be present to receive credit. Students are responsible for all in class or 24 hour advance email announcements. While attendance points will not be given, more than two absences, or obvious non-participation during class, will result in a lower final letter grade. </w:t>
      </w:r>
      <w:r>
        <w:rPr>
          <w:sz w:val="22"/>
          <w:szCs w:val="22"/>
        </w:rPr>
        <w:t>Snow – if SPASH is cancelled, check email for online assignment.</w:t>
      </w:r>
    </w:p>
    <w:p>
      <w:pPr>
        <w:pStyle w:val="Normal"/>
        <w:rPr>
          <w:b/>
          <w:b/>
          <w:sz w:val="22"/>
          <w:szCs w:val="22"/>
        </w:rPr>
      </w:pPr>
      <w:r>
        <w:rPr>
          <w:b/>
          <w:sz w:val="22"/>
          <w:szCs w:val="22"/>
        </w:rPr>
      </w:r>
    </w:p>
    <w:p>
      <w:pPr>
        <w:pStyle w:val="Normal"/>
        <w:rPr/>
      </w:pPr>
      <w:r>
        <w:rPr>
          <w:b/>
        </w:rPr>
        <w:t>EXAMS</w:t>
      </w:r>
      <w:r>
        <w:rPr/>
        <w:t xml:space="preserve"> There will be 3 Exams, worth 100 points each. Exams will cover material from all information presented for this class including, but not limited to, lectures, readings, videos, etc.</w:t>
      </w:r>
    </w:p>
    <w:p>
      <w:pPr>
        <w:pStyle w:val="Normal"/>
        <w:rPr>
          <w:b/>
          <w:b/>
        </w:rPr>
      </w:pPr>
      <w:r>
        <w:rPr>
          <w:b/>
        </w:rPr>
      </w:r>
    </w:p>
    <w:p>
      <w:pPr>
        <w:pStyle w:val="Normal"/>
        <w:rPr/>
      </w:pPr>
      <w:r>
        <w:rPr>
          <w:b/>
        </w:rPr>
        <w:t>MISSED EXAMS</w:t>
      </w:r>
      <w:r>
        <w:rPr/>
        <w:t xml:space="preserve"> The only reason that make up exams are given is if both of the following apply: a) you have a university approved excuse for the missed exams and b) acceptable verification for missing each exam was submitted within one week of the exam in question. Typically, make</w:t>
        <w:noBreakHyphen/>
        <w:t>up exams are given after the 3</w:t>
      </w:r>
      <w:r>
        <w:rPr>
          <w:vertAlign w:val="superscript"/>
        </w:rPr>
        <w:t>rd</w:t>
      </w:r>
      <w:r>
        <w:rPr/>
        <w:t xml:space="preserve"> exam. If you miss an exam or an assignment because you were in jail, you will be allowed to make up the exam or work under the stipulation that credit will be given pending your trial verdict: Guilty = no credit, Not Guilty = credit.</w:t>
      </w:r>
    </w:p>
    <w:p>
      <w:pPr>
        <w:pStyle w:val="Normal"/>
        <w:rPr>
          <w:b/>
          <w:b/>
        </w:rPr>
      </w:pPr>
      <w:r>
        <w:rPr>
          <w:b/>
        </w:rPr>
      </w:r>
    </w:p>
    <w:p>
      <w:pPr>
        <w:pStyle w:val="Normal"/>
        <w:rPr/>
      </w:pPr>
      <w:r>
        <w:rPr>
          <w:b/>
        </w:rPr>
        <w:t>TEST ITEM PROTEST</w:t>
      </w:r>
      <w:r>
        <w:rPr/>
        <w:t xml:space="preserve"> Any student wishing to protest a test item must do so, in writing, within one week of the time that the test grades are posted. In your protest make direct reference to the answer that you feel is correct (i.e. reference, page#, and quote). By the end of the semester a response will be given to you concerning your protest.</w:t>
      </w:r>
    </w:p>
    <w:p>
      <w:pPr>
        <w:pStyle w:val="Normal"/>
        <w:spacing w:lineRule="exact" w:line="240"/>
        <w:rPr>
          <w:b/>
          <w:b/>
          <w:sz w:val="22"/>
          <w:szCs w:val="22"/>
        </w:rPr>
      </w:pPr>
      <w:r>
        <w:rPr>
          <w:b/>
          <w:sz w:val="22"/>
          <w:szCs w:val="22"/>
        </w:rPr>
      </w:r>
    </w:p>
    <w:p>
      <w:pPr>
        <w:pStyle w:val="Normal"/>
        <w:spacing w:lineRule="exact" w:line="240"/>
        <w:rPr/>
      </w:pPr>
      <w:r>
        <w:rPr>
          <w:b/>
          <w:sz w:val="22"/>
          <w:szCs w:val="22"/>
        </w:rPr>
        <w:t xml:space="preserve">COMMON COURTESY </w:t>
      </w:r>
      <w:r>
        <w:rPr>
          <w:sz w:val="22"/>
          <w:szCs w:val="22"/>
        </w:rPr>
        <w:t>Cell phones/electronics need to be turned off during class. Usage may result in a lower “course” final grade. Use theatre voices.</w:t>
      </w:r>
    </w:p>
    <w:p>
      <w:pPr>
        <w:pStyle w:val="Normal"/>
        <w:rPr>
          <w:sz w:val="16"/>
          <w:szCs w:val="16"/>
        </w:rPr>
      </w:pPr>
      <w:r>
        <w:rPr>
          <w:sz w:val="16"/>
          <w:szCs w:val="16"/>
        </w:rPr>
      </w:r>
    </w:p>
    <w:p>
      <w:pPr>
        <w:pStyle w:val="Normal"/>
        <w:rPr/>
      </w:pPr>
      <w:r>
        <w:rPr>
          <w:b/>
        </w:rPr>
        <w:t xml:space="preserve">ASSIGNMENTS </w:t>
      </w:r>
      <w:r>
        <w:rPr/>
        <w:t>will be announced in class and completed in class or at home, depending on the nature of the project. Late assignments will lose 10% for each day late beginning immediately at the time/day due.</w:t>
      </w:r>
    </w:p>
    <w:p>
      <w:pPr>
        <w:pStyle w:val="Normal"/>
        <w:rPr>
          <w:b/>
          <w:b/>
        </w:rPr>
      </w:pPr>
      <w:r>
        <w:rPr>
          <w:b/>
        </w:rPr>
      </w:r>
    </w:p>
    <w:p>
      <w:pPr>
        <w:pStyle w:val="Normal"/>
        <w:rPr/>
      </w:pPr>
      <w:r>
        <w:rPr>
          <w:b/>
        </w:rPr>
        <w:t>GRADING – CONTRACT</w:t>
      </w:r>
      <w:r>
        <w:rPr/>
        <w:t xml:space="preserve"> It is the instructor’s responsibility to evaluate and post the grades for student’s work. It is the student’s responsibility to verify that credit was given for an assignment. Grades will be posted periodically throughout the semester. Students may come and discuss grades for only one week after they are posted. In other words, at the end of the semester grades will not be discussed from the beginning of the semester. </w:t>
      </w:r>
    </w:p>
    <w:p>
      <w:pPr>
        <w:pStyle w:val="Normal"/>
        <w:rPr/>
      </w:pPr>
      <w:r>
        <w:rPr/>
      </w:r>
    </w:p>
    <w:p>
      <w:pPr>
        <w:pStyle w:val="Normal"/>
        <w:rPr/>
      </w:pPr>
      <w:r>
        <w:rPr/>
        <w:t>A</w:t>
        <w:tab/>
        <w:t>90% and above</w:t>
      </w:r>
    </w:p>
    <w:p>
      <w:pPr>
        <w:pStyle w:val="Normal"/>
        <w:rPr/>
      </w:pPr>
      <w:r>
        <w:rPr/>
        <w:t>B</w:t>
        <w:tab/>
        <w:t>80 to less than 90%</w:t>
      </w:r>
    </w:p>
    <w:p>
      <w:pPr>
        <w:pStyle w:val="Normal"/>
        <w:rPr/>
      </w:pPr>
      <w:r>
        <w:rPr/>
        <w:t>C</w:t>
        <w:tab/>
        <w:t>70 to less than 80%</w:t>
      </w:r>
    </w:p>
    <w:p>
      <w:pPr>
        <w:pStyle w:val="Normal"/>
        <w:rPr/>
      </w:pPr>
      <w:r>
        <w:rPr/>
        <w:t>D</w:t>
        <w:tab/>
        <w:t>60 to less than 70%</w:t>
      </w:r>
    </w:p>
    <w:p>
      <w:pPr>
        <w:pStyle w:val="Normal"/>
        <w:rPr/>
      </w:pPr>
      <w:r>
        <w:rPr/>
        <w:t>F</w:t>
        <w:tab/>
        <w:t>Less than 60%</w:t>
      </w:r>
    </w:p>
    <w:p>
      <w:pPr>
        <w:pStyle w:val="Normal"/>
        <w:rPr>
          <w:b/>
          <w:b/>
        </w:rPr>
      </w:pPr>
      <w:r>
        <w:rPr>
          <w:b/>
        </w:rPr>
      </w:r>
    </w:p>
    <w:p>
      <w:pPr>
        <w:pStyle w:val="Normal"/>
        <w:rPr/>
      </w:pPr>
      <w:r>
        <w:rPr>
          <w:b/>
        </w:rPr>
        <w:t>GRADUATE COURSE CREDIT</w:t>
      </w:r>
      <w:r>
        <w:rPr/>
        <w:t xml:space="preserve"> Graduate credit is only available to students who have graduated with a Bachelors degree. Graduate students will be expected to participate in all activities, including the research project, with the exception that graduate work will be expected to use primary literature sources for their work. See instructor to discuss the scope and focus of your individual graduate level research project for this class.</w:t>
      </w:r>
    </w:p>
    <w:p>
      <w:pPr>
        <w:pStyle w:val="Normal"/>
        <w:rPr/>
      </w:pPr>
      <w:r>
        <w:rPr/>
      </w:r>
      <w:r>
        <w:br w:type="page"/>
      </w:r>
    </w:p>
    <w:p>
      <w:pPr>
        <w:pStyle w:val="Normal"/>
        <w:rPr/>
      </w:pPr>
      <w:r>
        <w:rPr>
          <w:b/>
        </w:rPr>
        <w:t xml:space="preserve">PROFESSIONAL DEVELOPMENT </w:t>
      </w:r>
      <w:r>
        <w:rPr/>
        <w:t>As a unit in the College of Professional Studies, we are to prepare students for the professional world. A primary method for connecting students with their profession is by encouraging membership and active participation in the professional organizations central to the field of family studies. Thus, 50 points of professional development in this course will be earned by any combination of the following activities:</w:t>
      </w:r>
    </w:p>
    <w:p>
      <w:pPr>
        <w:pStyle w:val="Normal"/>
        <w:rPr>
          <w:sz w:val="20"/>
          <w:szCs w:val="20"/>
        </w:rPr>
      </w:pPr>
      <w:r>
        <w:rPr>
          <w:sz w:val="20"/>
          <w:szCs w:val="20"/>
        </w:rPr>
      </w:r>
    </w:p>
    <w:p>
      <w:pPr>
        <w:pStyle w:val="Normal"/>
        <w:rPr/>
      </w:pPr>
      <w:r>
        <w:rPr>
          <w:u w:val="single"/>
        </w:rPr>
        <w:t>Points</w:t>
        <w:tab/>
      </w:r>
      <w:r>
        <w:rPr/>
        <w:tab/>
      </w:r>
      <w:r>
        <w:rPr>
          <w:u w:val="single"/>
        </w:rPr>
        <w:t>Action</w:t>
      </w:r>
    </w:p>
    <w:p>
      <w:pPr>
        <w:pStyle w:val="Normal"/>
        <w:rPr/>
      </w:pPr>
      <w:r>
        <w:rPr/>
        <w:t>20</w:t>
        <w:tab/>
        <w:tab/>
        <w:t>Current membership in a National/State organization (e.g. AAFCS/NCFR)</w:t>
      </w:r>
    </w:p>
    <w:p>
      <w:pPr>
        <w:pStyle w:val="Normal"/>
        <w:rPr/>
      </w:pPr>
      <w:r>
        <w:rPr/>
        <w:t>20</w:t>
        <w:tab/>
        <w:tab/>
        <w:t xml:space="preserve">Participation in National Conference, or previous (if not during current semester) </w:t>
      </w:r>
    </w:p>
    <w:p>
      <w:pPr>
        <w:pStyle w:val="Normal"/>
        <w:rPr/>
      </w:pPr>
      <w:r>
        <w:rPr/>
        <w:t>15</w:t>
        <w:tab/>
        <w:tab/>
        <w:t>Participation in State Conference/Meeting (e.g. WAFCS/MCFR/WFCE) or most recent</w:t>
      </w:r>
    </w:p>
    <w:p>
      <w:pPr>
        <w:pStyle w:val="Normal"/>
        <w:rPr/>
      </w:pPr>
      <w:r>
        <w:rPr/>
        <w:t>15</w:t>
        <w:tab/>
        <w:tab/>
        <w:t>Serve in an officer position (e.g. SPAFCS, UCFR, WAFCS, AAFCS, NCFR)</w:t>
      </w:r>
    </w:p>
    <w:p>
      <w:pPr>
        <w:pStyle w:val="Normal"/>
        <w:rPr/>
      </w:pPr>
      <w:r>
        <w:rPr/>
        <w:t>5</w:t>
        <w:tab/>
        <w:tab/>
        <w:t>Membership in local student chapter (e.g. SPAFCS/UCFR)</w:t>
      </w:r>
    </w:p>
    <w:p>
      <w:pPr>
        <w:pStyle w:val="Normal"/>
        <w:rPr/>
      </w:pPr>
      <w:r>
        <w:rPr/>
        <w:t>5</w:t>
        <w:tab/>
        <w:tab/>
        <w:t>Participation in professional organization sponsored activities or service projects</w:t>
      </w:r>
    </w:p>
    <w:p>
      <w:pPr>
        <w:pStyle w:val="Normal"/>
        <w:rPr/>
      </w:pPr>
      <w:r>
        <w:rPr/>
        <w:t>5</w:t>
        <w:tab/>
        <w:tab/>
        <w:t>Participation in professional org. sponsored development and training (e.g. CEU Cert.)</w:t>
      </w:r>
    </w:p>
    <w:p>
      <w:pPr>
        <w:pStyle w:val="Normal"/>
        <w:rPr/>
      </w:pPr>
      <w:r>
        <w:rPr/>
        <w:t>5</w:t>
        <w:tab/>
        <w:tab/>
        <w:t>Participation in regular Student Organization meetings (e.g. SPAFCS, UCFR)</w:t>
      </w:r>
    </w:p>
    <w:p>
      <w:pPr>
        <w:pStyle w:val="Normal"/>
        <w:rPr/>
      </w:pPr>
      <w:r>
        <w:rPr/>
      </w:r>
    </w:p>
    <w:p>
      <w:pPr>
        <w:pStyle w:val="Normal"/>
        <w:rPr/>
      </w:pPr>
      <w:r>
        <w:rPr/>
        <w:t>Use the form at the end of this syllabus to track your Professional Development activities. Prior approval is required for activities not clearly falling within the above identified organizations.</w:t>
      </w:r>
    </w:p>
    <w:p>
      <w:pPr>
        <w:sectPr>
          <w:footerReference w:type="default" r:id="rId2"/>
          <w:type w:val="nextPage"/>
          <w:pgSz w:w="12240" w:h="15840"/>
          <w:pgMar w:left="540" w:right="540" w:header="0" w:top="1008" w:footer="720" w:bottom="1152" w:gutter="0"/>
          <w:pgNumType w:fmt="decimal"/>
          <w:formProt w:val="false"/>
          <w:textDirection w:val="lrTb"/>
          <w:docGrid w:type="default" w:linePitch="326" w:charSpace="0"/>
        </w:sectPr>
        <w:pStyle w:val="Normal"/>
        <w:rPr/>
      </w:pPr>
      <w:r>
        <w:rPr/>
      </w:r>
    </w:p>
    <w:p>
      <w:pPr>
        <w:pStyle w:val="Normal"/>
        <w:rPr>
          <w:sz w:val="28"/>
          <w:szCs w:val="28"/>
        </w:rPr>
      </w:pPr>
      <w:r>
        <w:rPr>
          <w:sz w:val="28"/>
          <w:szCs w:val="28"/>
        </w:rPr>
        <w:t>Professional Development Activities Summary</w:t>
      </w:r>
    </w:p>
    <w:p>
      <w:pPr>
        <w:pStyle w:val="Normal"/>
        <w:rPr>
          <w:sz w:val="28"/>
          <w:szCs w:val="28"/>
        </w:rPr>
      </w:pPr>
      <w:r>
        <w:rPr>
          <w:sz w:val="28"/>
          <w:szCs w:val="28"/>
        </w:rPr>
      </w:r>
    </w:p>
    <w:p>
      <w:pPr>
        <w:pStyle w:val="Normal"/>
        <w:rPr/>
      </w:pPr>
      <w:r>
        <w:rPr/>
        <w:t xml:space="preserve">Briefly summarize your professional development activities for the semester below.  The </w:t>
      </w:r>
      <w:r>
        <w:rPr>
          <w:b/>
        </w:rPr>
        <w:t>date</w:t>
      </w:r>
      <w:r>
        <w:rPr/>
        <w:t xml:space="preserve"> should be the date of the activity so some items will not include a date (i.e.-membership in AAFCS or NCFR or WICFR).  The </w:t>
      </w:r>
      <w:r>
        <w:rPr>
          <w:b/>
        </w:rPr>
        <w:t>event/activity</w:t>
      </w:r>
      <w:r>
        <w:rPr/>
        <w:t xml:space="preserve"> is simply that (i.e.-UCFR or SPAFCS meeting).  If the activity is from outside of our department or state/national group dealing with our department more information may be needed, such as a brief explanation of what the group or activity is.  In the </w:t>
      </w:r>
      <w:r>
        <w:rPr>
          <w:b/>
        </w:rPr>
        <w:t>points earned</w:t>
      </w:r>
      <w:r>
        <w:rPr/>
        <w:t xml:space="preserve"> column put the number of points this activity is worth.  Include a total at the bottom.  </w:t>
      </w:r>
      <w:r>
        <w:rPr>
          <w:b/>
        </w:rPr>
        <w:t>Contact person and information</w:t>
      </w:r>
      <w:r>
        <w:rPr/>
        <w:t xml:space="preserve"> should be included for activities that I am not involved in. The last column is to indicate if </w:t>
      </w:r>
      <w:r>
        <w:rPr>
          <w:b/>
        </w:rPr>
        <w:t>supporting information</w:t>
      </w:r>
      <w:r>
        <w:rPr/>
        <w:t xml:space="preserve"> for this activity is attached, indicate with a “yes” or “no”.  Whenever possible </w:t>
      </w:r>
      <w:r>
        <w:rPr>
          <w:u w:val="single"/>
        </w:rPr>
        <w:t>include supporting information such as copies of membership cards or certificates of participation in trainings</w:t>
      </w:r>
      <w:r>
        <w:rPr/>
        <w:t>. Turn in this page by our scheduled Final Exam time, with a 1 page summary outlining the specific ways in which your involvement informed your personal AND professional life.</w:t>
      </w:r>
    </w:p>
    <w:p>
      <w:pPr>
        <w:pStyle w:val="Normal"/>
        <w:rPr/>
      </w:pPr>
      <w:r>
        <w:rPr/>
      </w:r>
    </w:p>
    <w:tbl>
      <w:tblPr>
        <w:tblW w:w="13762"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008"/>
        <w:gridCol w:w="5580"/>
        <w:gridCol w:w="900"/>
        <w:gridCol w:w="4860"/>
        <w:gridCol w:w="1414"/>
      </w:tblGrid>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SimSun;宋体"/>
              </w:rPr>
            </w:pPr>
            <w:r>
              <w:rPr>
                <w:rFonts w:eastAsia="SimSun;宋体"/>
              </w:rPr>
              <w:t>Date</w:t>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SimSun;宋体"/>
              </w:rPr>
            </w:pPr>
            <w:r>
              <w:rPr>
                <w:rFonts w:eastAsia="SimSun;宋体"/>
              </w:rPr>
              <w:t>Event/Activity</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SimSun;宋体"/>
              </w:rPr>
            </w:pPr>
            <w:r>
              <w:rPr>
                <w:rFonts w:eastAsia="SimSun;宋体"/>
              </w:rPr>
              <w:t>Points Earned</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SimSun;宋体"/>
              </w:rPr>
            </w:pPr>
            <w:r>
              <w:rPr>
                <w:rFonts w:eastAsia="SimSun;宋体"/>
              </w:rPr>
              <w:t xml:space="preserve">Contact Person and Information* </w:t>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eastAsia="SimSun;宋体"/>
              </w:rPr>
            </w:pPr>
            <w:r>
              <w:rPr>
                <w:rFonts w:eastAsia="SimSun;宋体"/>
              </w:rPr>
              <w:t>Supporting Information</w:t>
            </w:r>
          </w:p>
          <w:p>
            <w:pPr>
              <w:pStyle w:val="Normal"/>
              <w:rPr>
                <w:rFonts w:eastAsia="SimSun;宋体"/>
              </w:rPr>
            </w:pPr>
            <w:r>
              <w:rPr>
                <w:rFonts w:eastAsia="SimSun;宋体"/>
              </w:rPr>
              <w:t xml:space="preserve">Included? </w:t>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bl>
    <w:p>
      <w:pPr>
        <w:pStyle w:val="Normal"/>
        <w:rPr/>
      </w:pPr>
      <w:r>
        <w:rPr/>
      </w:r>
    </w:p>
    <w:p>
      <w:pPr>
        <w:pStyle w:val="Normal"/>
        <w:rPr/>
      </w:pPr>
      <w:r>
        <w:rPr/>
        <w:t>*Include contact name if activity is not an AAFCS, UCFR, WICFR, WAFCS, SPAFCS, NCFR, NWI, SAND activity.  Include contact information if the contact person is outside of HPHD department.</w:t>
      </w:r>
    </w:p>
    <w:p>
      <w:pPr>
        <w:pStyle w:val="Normal"/>
        <w:rPr/>
      </w:pPr>
      <w:r>
        <w:rPr/>
      </w:r>
    </w:p>
    <w:sectPr>
      <w:footerReference w:type="default" r:id="rId3"/>
      <w:type w:val="nextPage"/>
      <w:pgSz w:orient="landscape" w:w="15840" w:h="12240"/>
      <w:pgMar w:left="1008" w:right="1152" w:header="0" w:top="547" w:footer="720" w:bottom="776"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Franklin Gothic Demi">
    <w:charset w:val="00"/>
    <w:family w:val="swiss"/>
    <w:pitch w:val="variable"/>
  </w:font>
  <w:font w:name="Consolas">
    <w:charset w:val="00"/>
    <w:family w:val="modern"/>
    <w:pitch w:val="default"/>
  </w:font>
  <w:font w:name="Liberation Sans">
    <w:altName w:val="Arial"/>
    <w:charset w:val="01"/>
    <w:family w:val="swiss"/>
    <w:pitch w:val="variable"/>
  </w:font>
  <w:font w:name="Univers">
    <w:altName w:val="Arial"/>
    <w:charset w:val="00"/>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64135" cy="146050"/>
              <wp:effectExtent l="0" t="0" r="0" b="0"/>
              <wp:wrapSquare wrapText="largest"/>
              <wp:docPr id="1" name="Frame1"/>
              <a:graphic xmlns:a="http://schemas.openxmlformats.org/drawingml/2006/main">
                <a:graphicData uri="http://schemas.microsoft.com/office/word/2010/wordprocessingShape">
                  <wps:wsp>
                    <wps:cNvSpPr txBox="1"/>
                    <wps:spPr>
                      <a:xfrm>
                        <a:off x="0" y="0"/>
                        <a:ext cx="64135" cy="14605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3</w:t>
                          </w:r>
                          <w:r>
                            <w:fldChar w:fldCharType="end"/>
                          </w:r>
                        </w:p>
                      </w:txbxContent>
                    </wps:txbx>
                    <wps:bodyPr anchor="t">
                      <a:noAutofit/>
                    </wps:bodyPr>
                  </wps:wsp>
                </a:graphicData>
              </a:graphic>
            </wp:anchor>
          </w:drawing>
        </mc:Choice>
        <mc:Fallback>
          <w:pict>
            <v:rect fillcolor="#FFFFFF" style="position:absolute;rotation:0;width:5.05pt;height:11.5pt;margin-top:0.05pt;mso-position-vertical-relative:text;margin-left:552.95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3</w:t>
                    </w:r>
                    <w: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64135" cy="146050"/>
              <wp:effectExtent l="0" t="0" r="0" b="0"/>
              <wp:wrapSquare wrapText="largest"/>
              <wp:docPr id="2" name="Frame2"/>
              <a:graphic xmlns:a="http://schemas.openxmlformats.org/drawingml/2006/main">
                <a:graphicData uri="http://schemas.microsoft.com/office/word/2010/wordprocessingShape">
                  <wps:wsp>
                    <wps:cNvSpPr txBox="1"/>
                    <wps:spPr>
                      <a:xfrm>
                        <a:off x="0" y="0"/>
                        <a:ext cx="64135" cy="14605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4</w:t>
                          </w:r>
                          <w:r>
                            <w:fldChar w:fldCharType="end"/>
                          </w:r>
                        </w:p>
                      </w:txbxContent>
                    </wps:txbx>
                    <wps:bodyPr anchor="t">
                      <a:noAutofit/>
                    </wps:bodyPr>
                  </wps:wsp>
                </a:graphicData>
              </a:graphic>
            </wp:anchor>
          </w:drawing>
        </mc:Choice>
        <mc:Fallback>
          <w:pict>
            <v:rect fillcolor="#FFFFFF" style="position:absolute;rotation:0;width:5.05pt;height:11.5pt;margin-top:0.05pt;mso-position-vertical-relative:text;margin-left:678.95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4</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5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MS Mincho;ＭＳ 明朝" w:cs="Times New Roman"/>
      <w:color w:val="auto"/>
      <w:sz w:val="24"/>
      <w:szCs w:val="24"/>
      <w:lang w:val="en-US" w:eastAsia="ja-JP" w:bidi="ar-SA"/>
    </w:rPr>
  </w:style>
  <w:style w:type="paragraph" w:styleId="Heading1">
    <w:name w:val="Heading 1"/>
    <w:basedOn w:val="Normal"/>
    <w:next w:val="Normal"/>
    <w:qFormat/>
    <w:pPr>
      <w:keepNext/>
      <w:numPr>
        <w:ilvl w:val="0"/>
        <w:numId w:val="1"/>
      </w:numPr>
      <w:spacing w:before="240" w:after="60"/>
      <w:outlineLvl w:val="0"/>
      <w:outlineLvl w:val="0"/>
    </w:pPr>
    <w:rPr>
      <w:rFonts w:ascii="Arial" w:hAnsi="Arial" w:cs="Arial"/>
      <w:b/>
      <w:bCs/>
      <w:sz w:val="32"/>
      <w:szCs w:val="32"/>
    </w:rPr>
  </w:style>
  <w:style w:type="paragraph" w:styleId="Heading2">
    <w:name w:val="Heading 2"/>
    <w:basedOn w:val="Normal"/>
    <w:next w:val="Normal"/>
    <w:qFormat/>
    <w:pPr>
      <w:keepNext/>
      <w:numPr>
        <w:ilvl w:val="1"/>
        <w:numId w:val="1"/>
      </w:numPr>
      <w:outlineLvl w:val="1"/>
      <w:outlineLvl w:val="1"/>
    </w:pPr>
    <w:rPr>
      <w:rFonts w:ascii="Arial" w:hAnsi="Arial" w:eastAsia="Times New Roman" w:cs="Arial"/>
      <w:szCs w:val="20"/>
    </w:rPr>
  </w:style>
  <w:style w:type="paragraph" w:styleId="Heading3">
    <w:name w:val="Heading 3"/>
    <w:basedOn w:val="Normal"/>
    <w:next w:val="Normal"/>
    <w:qFormat/>
    <w:pPr>
      <w:keepNext/>
      <w:numPr>
        <w:ilvl w:val="2"/>
        <w:numId w:val="1"/>
      </w:numPr>
      <w:spacing w:before="240" w:after="60"/>
      <w:outlineLvl w:val="2"/>
      <w:outlineLvl w:val="2"/>
    </w:pPr>
    <w:rPr>
      <w:rFonts w:ascii="Arial" w:hAnsi="Arial" w:cs="Arial"/>
      <w:b/>
      <w:bCs/>
      <w:sz w:val="26"/>
      <w:szCs w:val="26"/>
    </w:rPr>
  </w:style>
  <w:style w:type="character" w:styleId="WW8Num1z0">
    <w:name w:val="WW8Num1z0"/>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sz w:val="20"/>
    </w:rPr>
  </w:style>
  <w:style w:type="character" w:styleId="WW8Num9z1">
    <w:name w:val="WW8Num9z1"/>
    <w:qFormat/>
    <w:rPr/>
  </w:style>
  <w:style w:type="character" w:styleId="WW8Num9z2">
    <w:name w:val="WW8Num9z2"/>
    <w:qFormat/>
    <w:rPr>
      <w:rFonts w:ascii="Wingdings" w:hAnsi="Wingdings" w:cs="Wingdings"/>
      <w:sz w:val="20"/>
    </w:rPr>
  </w:style>
  <w:style w:type="character" w:styleId="WW8Num10z0">
    <w:name w:val="WW8Num10z0"/>
    <w:qFormat/>
    <w:rPr>
      <w:rFonts w:ascii="Symbol" w:hAnsi="Symbol" w:cs="Symbol"/>
      <w:sz w:val="20"/>
    </w:rPr>
  </w:style>
  <w:style w:type="character" w:styleId="WW8Num10z1">
    <w:name w:val="WW8Num10z1"/>
    <w:qFormat/>
    <w:rPr>
      <w:rFonts w:ascii="Courier New" w:hAnsi="Courier New" w:cs="Courier New"/>
      <w:sz w:val="20"/>
    </w:rPr>
  </w:style>
  <w:style w:type="character" w:styleId="WW8Num10z2">
    <w:name w:val="WW8Num10z2"/>
    <w:qFormat/>
    <w:rPr>
      <w:rFonts w:ascii="Wingdings" w:hAnsi="Wingdings" w:cs="Wingdings"/>
      <w:sz w:val="20"/>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DefaultParagraphFont">
    <w:name w:val="Default Paragraph Font"/>
    <w:qFormat/>
    <w:rPr/>
  </w:style>
  <w:style w:type="character" w:styleId="PageNumber">
    <w:name w:val="Page Number"/>
    <w:basedOn w:val="DefaultParagraphFont"/>
    <w:rPr/>
  </w:style>
  <w:style w:type="character" w:styleId="InternetLink">
    <w:name w:val="Internet Link"/>
    <w:rPr>
      <w:color w:val="0000FF"/>
      <w:u w:val="single"/>
    </w:rPr>
  </w:style>
  <w:style w:type="character" w:styleId="Coursehead">
    <w:name w:val="coursehead"/>
    <w:qFormat/>
    <w:rPr>
      <w:rFonts w:ascii="Franklin Gothic Demi" w:hAnsi="Franklin Gothic Demi" w:cs="Franklin Gothic Demi"/>
    </w:rPr>
  </w:style>
  <w:style w:type="character" w:styleId="Bold">
    <w:name w:val="bold"/>
    <w:basedOn w:val="DefaultParagraphFont"/>
    <w:qFormat/>
    <w:rPr/>
  </w:style>
  <w:style w:type="character" w:styleId="PlainTextChar">
    <w:name w:val="Plain Text Char"/>
    <w:qFormat/>
    <w:rPr>
      <w:rFonts w:ascii="Consolas" w:hAnsi="Consolas" w:eastAsia="Calibri" w:cs="Consolas"/>
      <w:sz w:val="21"/>
      <w:szCs w:val="21"/>
    </w:rPr>
  </w:style>
  <w:style w:type="character" w:styleId="Heading2Char">
    <w:name w:val="Heading 2 Char"/>
    <w:qFormat/>
    <w:rPr>
      <w:rFonts w:ascii="Arial" w:hAnsi="Arial" w:eastAsia="Times New Roman" w:cs="Arial"/>
      <w:sz w:val="24"/>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qFormat/>
    <w:pPr/>
    <w:rPr/>
  </w:style>
  <w:style w:type="paragraph" w:styleId="Level1">
    <w:name w:val="Level 1"/>
    <w:basedOn w:val="NormalWeb"/>
    <w:qFormat/>
    <w:pPr>
      <w:spacing w:before="0" w:after="240"/>
      <w:ind w:left="360" w:hanging="360"/>
    </w:pPr>
    <w:rPr>
      <w:rFonts w:cs="Tahoma"/>
    </w:rPr>
  </w:style>
  <w:style w:type="paragraph" w:styleId="Level2">
    <w:name w:val="Level 2"/>
    <w:basedOn w:val="NormalWeb"/>
    <w:qFormat/>
    <w:pPr>
      <w:spacing w:before="0" w:after="240"/>
      <w:ind w:left="720" w:hanging="360"/>
    </w:pPr>
    <w:rPr/>
  </w:style>
  <w:style w:type="paragraph" w:styleId="Level3">
    <w:name w:val="Level 3"/>
    <w:basedOn w:val="NormalWeb"/>
    <w:qFormat/>
    <w:pPr>
      <w:spacing w:before="0" w:after="240"/>
      <w:ind w:left="1080" w:hanging="360"/>
    </w:pPr>
    <w:rPr/>
  </w:style>
  <w:style w:type="paragraph" w:styleId="Indent1">
    <w:name w:val="Indent 1"/>
    <w:basedOn w:val="NormalWeb"/>
    <w:qFormat/>
    <w:pPr>
      <w:spacing w:before="0" w:after="240"/>
      <w:ind w:left="360" w:hanging="0"/>
    </w:pPr>
    <w:rPr>
      <w:rFonts w:eastAsia="SimSun;宋体"/>
      <w:lang w:eastAsia="zh-CN"/>
    </w:rPr>
  </w:style>
  <w:style w:type="paragraph" w:styleId="Indent2">
    <w:name w:val="Indent 2"/>
    <w:basedOn w:val="NormalWeb"/>
    <w:qFormat/>
    <w:pPr>
      <w:spacing w:before="0" w:after="240"/>
      <w:ind w:left="720" w:hanging="0"/>
    </w:pPr>
    <w:rPr>
      <w:rFonts w:eastAsia="SimSun;宋体"/>
      <w:lang w:eastAsia="zh-CN"/>
    </w:rPr>
  </w:style>
  <w:style w:type="paragraph" w:styleId="Indent3">
    <w:name w:val="Indent 3"/>
    <w:basedOn w:val="NormalWeb"/>
    <w:qFormat/>
    <w:pPr>
      <w:spacing w:before="0" w:after="240"/>
      <w:ind w:left="1080" w:hanging="0"/>
    </w:pPr>
    <w:rPr>
      <w:rFonts w:eastAsia="SimSun;宋体"/>
      <w:lang w:eastAsia="zh-CN"/>
    </w:rPr>
  </w:style>
  <w:style w:type="paragraph" w:styleId="Footer">
    <w:name w:val="Footer"/>
    <w:basedOn w:val="Normal"/>
    <w:pPr/>
    <w:rPr>
      <w:rFonts w:eastAsia="Times New Roman"/>
      <w:sz w:val="20"/>
      <w:szCs w:val="20"/>
    </w:rPr>
  </w:style>
  <w:style w:type="paragraph" w:styleId="BodyText2">
    <w:name w:val="Body Text 2"/>
    <w:basedOn w:val="Normal"/>
    <w:qFormat/>
    <w:pPr/>
    <w:rPr>
      <w:rFonts w:ascii="Univers;Arial" w:hAnsi="Univers;Arial" w:eastAsia="Times New Roman" w:cs="Univers;Arial"/>
      <w:sz w:val="22"/>
      <w:szCs w:val="20"/>
    </w:rPr>
  </w:style>
  <w:style w:type="paragraph" w:styleId="Header">
    <w:name w:val="Header"/>
    <w:basedOn w:val="Normal"/>
    <w:pPr/>
    <w:rPr/>
  </w:style>
  <w:style w:type="paragraph" w:styleId="BalloonText">
    <w:name w:val="Balloon Text"/>
    <w:basedOn w:val="Normal"/>
    <w:qFormat/>
    <w:pPr/>
    <w:rPr>
      <w:rFonts w:ascii="Tahoma" w:hAnsi="Tahoma" w:cs="Tahoma"/>
      <w:sz w:val="16"/>
      <w:szCs w:val="16"/>
    </w:rPr>
  </w:style>
  <w:style w:type="paragraph" w:styleId="PlainText">
    <w:name w:val="Plain Text"/>
    <w:basedOn w:val="Normal"/>
    <w:qFormat/>
    <w:pPr/>
    <w:rPr>
      <w:rFonts w:ascii="Consolas" w:hAnsi="Consolas" w:eastAsia="Calibri" w:cs="Times New Roman"/>
      <w:sz w:val="21"/>
      <w:szCs w:val="21"/>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oter" Target="footer2.xml"/><Relationship Id="rId7" Type="http://schemas.openxmlformats.org/officeDocument/2006/relationships/customXml" Target="../customXml/item1.xml"/><Relationship Id="rId2" Type="http://schemas.openxmlformats.org/officeDocument/2006/relationships/footer" Target="footer1.xml"/><Relationship Id="rId1" Type="http://schemas.openxmlformats.org/officeDocument/2006/relationships/styles" Target="styles.xml"/><Relationship Id="rId6" Type="http://schemas.openxmlformats.org/officeDocument/2006/relationships/settings" Target="settings.xml"/><Relationship Id="rId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367</Number>
    <Section xmlns="409cf07c-705a-4568-bc2e-e1a7cd36a2d3" xsi:nil="true"/>
    <Calendar_x0020_Year xmlns="409cf07c-705a-4568-bc2e-e1a7cd36a2d3">2018</Calendar_x0020_Year>
    <Course_x0020_Name xmlns="409cf07c-705a-4568-bc2e-e1a7cd36a2d3">Intentional Intimacy and Family Formation</Course_x0020_Name>
    <Instructor xmlns="409cf07c-705a-4568-bc2e-e1a7cd36a2d3">Sterling Wall</Instructor>
    <Pre xmlns="409cf07c-705a-4568-bc2e-e1a7cd36a2d3">47</Pre>
    <Campus xmlns="409cf07c-705a-4568-bc2e-e1a7cd36a2d3">
      <Value>Stevens Point</Value>
    </Campus>
  </documentManagement>
</p:properties>
</file>

<file path=customXml/itemProps1.xml><?xml version="1.0" encoding="utf-8"?>
<ds:datastoreItem xmlns:ds="http://schemas.openxmlformats.org/officeDocument/2006/customXml" ds:itemID="{AAFECFD9-76D5-4210-B836-E4A543C1E0D2}"/>
</file>

<file path=customXml/itemProps2.xml><?xml version="1.0" encoding="utf-8"?>
<ds:datastoreItem xmlns:ds="http://schemas.openxmlformats.org/officeDocument/2006/customXml" ds:itemID="{B40730F2-2156-4F3C-A9B3-D4231A0E440C}"/>
</file>

<file path=customXml/itemProps3.xml><?xml version="1.0" encoding="utf-8"?>
<ds:datastoreItem xmlns:ds="http://schemas.openxmlformats.org/officeDocument/2006/customXml" ds:itemID="{DE3FD807-B87F-4D12-AC56-D3407765B074}"/>
</file>

<file path=docProps/app.xml><?xml version="1.0" encoding="utf-8"?>
<Properties xmlns="http://schemas.openxmlformats.org/officeDocument/2006/extended-properties" xmlns:vt="http://schemas.openxmlformats.org/officeDocument/2006/docPropsVTypes">
  <Template>Normal</Template>
  <TotalTime>5</TotalTime>
  <Application>LibreOffice/4.4.6.3$Linux_X86_64 LibreOffice_project/40m0$Build-3</Application>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Writing Emphasis General Degree Credit</dc:title>
  <dc:creator>Eileen Kay Gavinski</dc:creator>
  <cp:revision>4</cp:revision>
  <cp:lastPrinted>2015-02-06T14:50:00Z</cp:lastPrinted>
  <dcterms:created xsi:type="dcterms:W3CDTF">2017-09-06T08:14:00Z</dcterms:created>
  <dcterms:modified xsi:type="dcterms:W3CDTF">2018-01-23T17:29:39Z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1841574901</vt:i4>
  </property>
  <property fmtid="{D5CDD505-2E9C-101B-9397-08002B2CF9AE}" pid="3" name="_AuthorEmail">
    <vt:lpwstr>Sterling.Wall@uwsp.edu</vt:lpwstr>
  </property>
  <property fmtid="{D5CDD505-2E9C-101B-9397-08002B2CF9AE}" pid="4" name="_AuthorEmailDisplayName">
    <vt:lpwstr>Wall, Sterling</vt:lpwstr>
  </property>
  <property fmtid="{D5CDD505-2E9C-101B-9397-08002B2CF9AE}" pid="5" name="_EmailSubject">
    <vt:lpwstr>WE 444</vt:lpwstr>
  </property>
  <property fmtid="{D5CDD505-2E9C-101B-9397-08002B2CF9AE}" pid="6" name="ContentTypeId">
    <vt:lpwstr>0x01010049051BA3B3C77A40B49F0F42978FF995</vt:lpwstr>
  </property>
</Properties>
</file>